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Munkedal kommunfullmäktige</w:t>
      </w:r>
    </w:p>
    <w:p>
      <w:pPr>
        <w:pStyle w:val="Heading1"/>
      </w:pPr>
      <w:r>
        <w:t xml:space="preserve">Granskning av vinstuttag i privat 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Munkedal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Privata utförare i äldreomsorgen tar ut vinster utan tillräcklig transparens. En granskning säkerställer att skattemedel går till kvalitet, i linje med ansvarsfull ekonomi.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Munkedal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revisionen att granska vinstuttag hos privata omsorgsutförare 2026–2027.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granskningen ska omfatta kvalitet, löner och arbetsvillkor.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resultatet presenteras för kommunfullmäktige senast hösten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eventuella åtgärder föreslås utifrån granskningen.</w:t>
      </w:r>
    </w:p>
    <w:p>
      <w:pPr>
        <w:spacing w:before="360"/>
      </w:pPr>
    </w:p>
    <w:p>
      <w:r>
        <w:t xml:space="preserve">Munkedal,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Munkedal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2026-07-14T00:52:51.913Z</dcterms:created>
  <dcterms:modified xsi:type="dcterms:W3CDTF">2026-07-14T00:52:51.913Z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